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3" w:type="dxa"/>
        <w:tblInd w:w="-601" w:type="dxa"/>
        <w:tblBorders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709"/>
        <w:gridCol w:w="851"/>
        <w:gridCol w:w="825"/>
        <w:gridCol w:w="900"/>
        <w:gridCol w:w="1296"/>
        <w:gridCol w:w="832"/>
        <w:gridCol w:w="1827"/>
        <w:gridCol w:w="1473"/>
        <w:gridCol w:w="804"/>
        <w:gridCol w:w="3887"/>
        <w:gridCol w:w="859"/>
      </w:tblGrid>
      <w:tr w:rsidR="00632069">
        <w:trPr>
          <w:trHeight w:val="877"/>
        </w:trPr>
        <w:tc>
          <w:tcPr>
            <w:tcW w:w="1426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2069" w:rsidRDefault="00907D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  <w:p w:rsidR="00632069" w:rsidRDefault="00907D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</w:rPr>
              <w:t>石柱县</w:t>
            </w:r>
            <w:r>
              <w:rPr>
                <w:rFonts w:eastAsia="方正仿宋_GBK" w:hint="eastAsia"/>
                <w:b/>
                <w:bCs/>
              </w:rPr>
              <w:t>2018</w:t>
            </w:r>
            <w:r>
              <w:rPr>
                <w:rFonts w:eastAsia="方正仿宋_GBK" w:hint="eastAsia"/>
                <w:b/>
                <w:bCs/>
              </w:rPr>
              <w:t>年上半年考核招聘医学类专业技术人才岗位条件一览表</w:t>
            </w:r>
          </w:p>
        </w:tc>
      </w:tr>
      <w:tr w:rsidR="00632069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招聘条件及要求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3206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069">
        <w:trPr>
          <w:trHeight w:val="1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县卫生计生委</w:t>
            </w:r>
          </w:p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县中医院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中医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财政差额</w:t>
            </w:r>
          </w:p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专技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级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中医内科学、中医儿科学、中西医结合临床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全日制普通高校研究生学历及相应学位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需取得执业医师资格（中医儿科学专业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2016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年及以后的毕业生不作执业资格要求）。具有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</w:rPr>
              <w:t>规培证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</w:rPr>
              <w:t>者学历可放宽至全日制普通高校本科学历并取得相应学位。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19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临床医学、外科学、急诊医学、内科学、儿科医学、儿科学、妇产科学，眼科学，耳鼻咽喉科学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全日制普通高校本科以上学历及相应学位</w:t>
            </w: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需取得执业医师资格（儿科学、儿科医学专业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2016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年及以后的毕业生不作执业资格要求）。取得相应中级以上职称资格者，学历可放宽至全日制普通高校专科学历，年龄放宽至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周岁及以下。取得相应高级职称资格，学历可放宽至全日制普通高校专科学历，年龄放宽至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45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B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超室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医学影像学、影像医学与核医学、临床医学</w:t>
            </w:r>
          </w:p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需取得执业医师资格（医学影像学、影像医学与核医学专业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2016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年及以后的毕业生不作执业资格要求）。取得相应中级以上职称资格者，学历可放宽至全日制普通高校专科学历、年龄放宽至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周岁及以下。专业为临床医学并从事医学影像学工作且取得中级以上资格职称者，学历可放宽至全日制普通高校专科学历，年龄放宽至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放射科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医学影像学、影像医学与核医学</w:t>
            </w: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县卫生计生委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县妇幼保健计划生育服务中心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 w:rsidP="000169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财政</w:t>
            </w:r>
            <w:r w:rsidR="00016999">
              <w:rPr>
                <w:rFonts w:ascii="宋体" w:cs="宋体" w:hint="eastAsia"/>
                <w:color w:val="000000"/>
                <w:kern w:val="0"/>
                <w:sz w:val="20"/>
              </w:rPr>
              <w:t>全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额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专技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级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临床医学、妇产科学、儿科学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全日制普通高校本科以上学历及相应学位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需具备执业资格。取得中级以上职称资格者，学历可放宽至全日制普通高校专科学历，年龄放宽至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县卫生计生委</w:t>
            </w: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南宾街道社区卫生服务中心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放射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财政差额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专技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级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医学影像、医学影像学、医学影像技术、医学技术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全日制普通高校本科以上学历及相应学位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:rsidR="00632069" w:rsidRDefault="00907D8C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具备执业资格者，学历可放宽至全日制普通高校大学专科学历。取得中级职称者，学历可放宽至国民教育专科学历，年龄可放宽至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B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超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医学影像学、医学影像技术、医学技术</w:t>
            </w:r>
          </w:p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检验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医学检验、医学检验技术、医学技术</w:t>
            </w:r>
          </w:p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需具备检验士及以上资格。取得中级职称者，学历可放宽至国民教育专科，年龄可放宽至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药学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药学、药物制剂、临床药学、药剂学</w:t>
            </w:r>
          </w:p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需具备药士及以上资格。取得中级职称者，学历可放宽至国民教育专科学历，年龄可放宽至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口腔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需具备执业资格。取得中级职称者，学历可放宽至国民教育专科，年龄可放宽至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临床医学、中西医结合、中西医临床医学</w:t>
            </w: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县卫生计生委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万安街道社区卫生服务中心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检验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财政差额</w:t>
            </w: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专技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级</w:t>
            </w:r>
          </w:p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医学检验技术、医学检验、医学技术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全日制普通高校本科以上学历及相应学位</w:t>
            </w: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需具备检验士及以上资格。取得中级职称者，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学历可放宽至国民教育专科，</w:t>
            </w:r>
            <w:r>
              <w:rPr>
                <w:rFonts w:hint="eastAsia"/>
                <w:color w:val="000000"/>
                <w:sz w:val="20"/>
              </w:rPr>
              <w:t>年龄可放宽至</w:t>
            </w:r>
            <w:r>
              <w:rPr>
                <w:color w:val="000000"/>
                <w:sz w:val="20"/>
              </w:rPr>
              <w:t>40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临床医学、中西医结合、中西医临床医学、内科学、儿科学、妇产科学、外科学、急诊医学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需具备执业资格。取得中级职称者，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学历可放宽至国民教育专科，</w:t>
            </w:r>
            <w:r>
              <w:rPr>
                <w:rFonts w:hint="eastAsia"/>
                <w:color w:val="000000"/>
                <w:sz w:val="20"/>
              </w:rPr>
              <w:t>年龄可放宽至</w:t>
            </w:r>
            <w:r>
              <w:rPr>
                <w:color w:val="000000"/>
                <w:sz w:val="20"/>
              </w:rPr>
              <w:t>40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县卫生计生委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黄水镇中心卫生院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财政差额</w:t>
            </w:r>
          </w:p>
          <w:p w:rsidR="00632069" w:rsidRDefault="00632069">
            <w:pPr>
              <w:tabs>
                <w:tab w:val="left" w:pos="315"/>
              </w:tabs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专技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级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临床医学、外科学、急诊医学、内科学、儿科医学、儿科学、妇产科学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全日制普通高校本科以上学历及相应学位</w:t>
            </w:r>
          </w:p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需具备执业医师资格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</w:t>
            </w:r>
            <w:r>
              <w:rPr>
                <w:rFonts w:asci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临床医学（妇产科方向）、妇产科学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需具备执业医师资格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63206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影像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Courier New" w:hAnsi="Courier New" w:cs="宋体"/>
                <w:color w:val="000000"/>
                <w:kern w:val="0"/>
                <w:sz w:val="20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医学影像学、影像医学与核医学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907D8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需具备执业医师资格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69" w:rsidRDefault="006320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</w:tbl>
    <w:p w:rsidR="00632069" w:rsidRDefault="00632069">
      <w:bookmarkStart w:id="0" w:name="_GoBack"/>
      <w:bookmarkEnd w:id="0"/>
    </w:p>
    <w:sectPr w:rsidR="00632069" w:rsidSect="00632069">
      <w:pgSz w:w="16838" w:h="11906" w:orient="landscape"/>
      <w:pgMar w:top="1587" w:right="2098" w:bottom="1474" w:left="1984" w:header="851" w:footer="992" w:gutter="0"/>
      <w:cols w:space="720"/>
      <w:docGrid w:type="lines" w:linePitch="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8C" w:rsidRDefault="00907D8C" w:rsidP="00016999">
      <w:r>
        <w:separator/>
      </w:r>
    </w:p>
  </w:endnote>
  <w:endnote w:type="continuationSeparator" w:id="0">
    <w:p w:rsidR="00907D8C" w:rsidRDefault="00907D8C" w:rsidP="0001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8C" w:rsidRDefault="00907D8C" w:rsidP="00016999">
      <w:r>
        <w:separator/>
      </w:r>
    </w:p>
  </w:footnote>
  <w:footnote w:type="continuationSeparator" w:id="0">
    <w:p w:rsidR="00907D8C" w:rsidRDefault="00907D8C" w:rsidP="00016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7A3"/>
    <w:rsid w:val="00016999"/>
    <w:rsid w:val="00632069"/>
    <w:rsid w:val="00892AEF"/>
    <w:rsid w:val="00907D8C"/>
    <w:rsid w:val="00A24F7C"/>
    <w:rsid w:val="00B117A3"/>
    <w:rsid w:val="00B221D3"/>
    <w:rsid w:val="203276F8"/>
    <w:rsid w:val="56E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2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20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32069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632069"/>
    <w:pPr>
      <w:widowControl/>
      <w:spacing w:after="160" w:line="240" w:lineRule="exact"/>
      <w:jc w:val="left"/>
    </w:pPr>
    <w:rPr>
      <w:rFonts w:eastAsia="方正仿宋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hp2806100</cp:lastModifiedBy>
  <cp:revision>4</cp:revision>
  <dcterms:created xsi:type="dcterms:W3CDTF">2018-05-09T03:57:00Z</dcterms:created>
  <dcterms:modified xsi:type="dcterms:W3CDTF">2018-05-10T08:34:00Z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